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before="0"/>
        <w:ind w:firstLine="540" w:left="0" w:right="0"/>
        <w:jc w:val="both"/>
        <w:rPr>
          <w:b w:val="0"/>
        </w:rPr>
      </w:pPr>
      <w:r>
        <w:rPr>
          <w:rFonts w:ascii="Times New Roman" w:hAnsi="Times New Roman"/>
          <w:sz w:val="28"/>
        </w:rPr>
        <w:t>Суд удовлетворил иск прокуратуры Чемальского района в интересах пенсионера о взыскании похищенных у него денежных средств</w:t>
      </w:r>
    </w:p>
    <w:p w14:paraId="02000000">
      <w:pPr>
        <w:widowControl w:val="1"/>
        <w:spacing w:after="0" w:before="0"/>
        <w:ind w:firstLine="540" w:left="0" w:right="0"/>
        <w:jc w:val="both"/>
        <w:rPr>
          <w:rFonts w:ascii="Times New Roman" w:hAnsi="Times New Roman"/>
          <w:sz w:val="28"/>
        </w:rPr>
      </w:pPr>
    </w:p>
    <w:p w14:paraId="03000000">
      <w:pPr>
        <w:widowControl w:val="0"/>
        <w:spacing w:after="0" w:line="240" w:lineRule="auto"/>
        <w:ind w:firstLine="567" w:left="0" w:right="2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>Прокуратура Чемальского района по результат</w:t>
      </w:r>
      <w:r>
        <w:rPr>
          <w:rFonts w:ascii="Times New Roman" w:hAnsi="Times New Roman"/>
          <w:color w:val="000000"/>
          <w:sz w:val="28"/>
        </w:rPr>
        <w:t xml:space="preserve">ам изучения материалов уголовных дел установила, что в декабре 2024 годе неустановленное лицо </w:t>
      </w:r>
      <w:r>
        <w:rPr>
          <w:rFonts w:ascii="Times New Roman" w:hAnsi="Times New Roman"/>
          <w:color w:val="000000"/>
          <w:sz w:val="28"/>
        </w:rPr>
        <w:t>путем обмана</w:t>
      </w:r>
      <w:r>
        <w:rPr>
          <w:rFonts w:ascii="Times New Roman" w:hAnsi="Times New Roman"/>
          <w:color w:val="000000"/>
          <w:sz w:val="28"/>
        </w:rPr>
        <w:t xml:space="preserve"> похитило </w:t>
      </w:r>
      <w:r>
        <w:rPr>
          <w:rFonts w:ascii="Times New Roman" w:hAnsi="Times New Roman"/>
          <w:color w:val="000000"/>
          <w:sz w:val="28"/>
        </w:rPr>
        <w:t xml:space="preserve">принадлежащие пенсионеру </w:t>
      </w:r>
      <w:r>
        <w:rPr>
          <w:rFonts w:ascii="Times New Roman" w:hAnsi="Times New Roman"/>
          <w:color w:val="000000"/>
          <w:sz w:val="28"/>
        </w:rPr>
        <w:t>денежные средства</w:t>
      </w:r>
      <w:r>
        <w:rPr>
          <w:rFonts w:ascii="Times New Roman" w:hAnsi="Times New Roman"/>
          <w:color w:val="000000"/>
          <w:sz w:val="28"/>
        </w:rPr>
        <w:t xml:space="preserve"> на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сумму более двадцати тысяч рублей, которые были переведены на банковский счет жителя Республики Дагестан, неосновательно обогатившегося на сумму хищения.</w:t>
      </w:r>
    </w:p>
    <w:p w14:paraId="04000000">
      <w:pPr>
        <w:widowControl w:val="0"/>
        <w:spacing w:after="0" w:line="240" w:lineRule="auto"/>
        <w:ind w:firstLine="567" w:left="0" w:right="2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Полученная информация о переводах похищенных денежных средств послужила основанием для предъявления прокуратурой Чемальского района в суд иска в интересах пенсионера о </w:t>
      </w:r>
      <w:r>
        <w:rPr>
          <w:rFonts w:ascii="Times New Roman" w:hAnsi="Times New Roman"/>
          <w:color w:val="000000"/>
          <w:sz w:val="28"/>
        </w:rPr>
        <w:t>взыскании неосновательного обогащения с процентами за пользование чужими денежными средствами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к владельцу счета, на который поступили похищенные средства.</w:t>
      </w:r>
    </w:p>
    <w:p w14:paraId="05000000">
      <w:pPr>
        <w:widowControl w:val="1"/>
        <w:spacing w:after="0" w:before="0"/>
        <w:ind w:firstLine="540" w:left="0" w:right="0"/>
        <w:jc w:val="both"/>
        <w:rPr>
          <w:b w:val="0"/>
        </w:rPr>
      </w:pPr>
      <w:r>
        <w:rPr>
          <w:rFonts w:ascii="Times New Roman" w:hAnsi="Times New Roman"/>
          <w:color w:val="000000"/>
          <w:sz w:val="28"/>
        </w:rPr>
        <w:t>Судом иск рассмотрен и удовлетворен, решение суда в законную силу не вступило. Исполнение решения суда находится на контроле прокуратуры района.</w:t>
      </w:r>
      <w:r>
        <w:rPr>
          <w:rFonts w:ascii="Times New Roman" w:hAnsi="Times New Roman"/>
          <w:sz w:val="27"/>
        </w:rPr>
        <w:t xml:space="preserve"> </w:t>
      </w:r>
    </w:p>
    <w:p w14:paraId="06000000">
      <w:pPr>
        <w:widowControl w:val="1"/>
        <w:spacing w:after="0" w:before="0"/>
        <w:ind w:firstLine="540" w:left="0" w:right="0"/>
        <w:jc w:val="both"/>
        <w:rPr>
          <w:rFonts w:ascii="Times New Roman" w:hAnsi="Times New Roman"/>
          <w:b w:val="0"/>
          <w:sz w:val="28"/>
        </w:rPr>
      </w:pPr>
    </w:p>
    <w:p w14:paraId="07000000">
      <w:pPr>
        <w:widowControl w:val="1"/>
        <w:spacing w:after="0" w:before="0"/>
        <w:ind w:firstLine="540" w:left="0" w:right="0"/>
        <w:jc w:val="both"/>
        <w:rPr>
          <w:rFonts w:ascii="Times New Roman" w:hAnsi="Times New Roman"/>
          <w:b w:val="0"/>
          <w:sz w:val="28"/>
        </w:rPr>
      </w:pPr>
    </w:p>
    <w:p w14:paraId="08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Помощник прокурора </w:t>
      </w:r>
    </w:p>
    <w:p w14:paraId="09000000">
      <w:pPr>
        <w:widowControl w:val="1"/>
        <w:spacing w:after="0" w:before="0"/>
        <w:ind w:firstLine="0" w:left="0" w:right="0"/>
        <w:jc w:val="both"/>
        <w:rPr>
          <w:b w:val="0"/>
        </w:rPr>
      </w:pPr>
      <w:r>
        <w:rPr>
          <w:rFonts w:ascii="Times New Roman" w:hAnsi="Times New Roman"/>
          <w:b w:val="0"/>
          <w:sz w:val="28"/>
        </w:rPr>
        <w:t>Чемальского района</w:t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ab/>
      </w:r>
      <w:r>
        <w:rPr>
          <w:rFonts w:ascii="Times New Roman" w:hAnsi="Times New Roman"/>
          <w:b w:val="0"/>
          <w:sz w:val="28"/>
        </w:rPr>
        <w:t>Ф.В. Шваба</w:t>
      </w:r>
      <w:r>
        <w:br/>
      </w:r>
    </w:p>
    <w:p w14:paraId="0A000000">
      <w:pPr>
        <w:widowControl w:val="1"/>
        <w:spacing w:after="0" w:before="0"/>
        <w:ind w:firstLine="0" w:left="0" w:right="0"/>
        <w:jc w:val="both"/>
        <w:rPr>
          <w:b w:val="0"/>
        </w:rPr>
      </w:pPr>
    </w:p>
    <w:p w14:paraId="0B000000">
      <w:pPr>
        <w:widowControl w:val="0"/>
        <w:spacing w:after="0" w:line="240" w:lineRule="auto"/>
        <w:ind w:firstLine="708" w:left="0"/>
        <w:jc w:val="both"/>
        <w:rPr>
          <w:rFonts w:ascii="Times New Roman" w:hAnsi="Times New Roman"/>
          <w:sz w:val="28"/>
        </w:rPr>
      </w:pPr>
    </w:p>
    <w:p w14:paraId="0C000000"/>
    <w:sectPr>
      <w:pgSz w:h="16838" w:orient="portrait" w:w="11906"/>
      <w:pgMar w:bottom="1134" w:footer="0" w:gutter="0" w:header="0" w:left="1418" w:right="851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mirrorMargins/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9" w:type="paragraph">
    <w:name w:val="toc 3"/>
    <w:next w:val="Style_1"/>
    <w:link w:val="Style_9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1"/>
    <w:link w:val="Style_10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1"/>
    <w:link w:val="Style_11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1"/>
    <w:link w:val="Style_14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1"/>
    <w:link w:val="Style_16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1"/>
    <w:link w:val="Style_17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1"/>
    <w:link w:val="Style_18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Subtitle"/>
    <w:next w:val="Style_1"/>
    <w:link w:val="Style_19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Title"/>
    <w:next w:val="Style_1"/>
    <w:link w:val="Style_20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0_ch" w:type="character">
    <w:name w:val="Title"/>
    <w:link w:val="Style_20"/>
    <w:rPr>
      <w:rFonts w:ascii="XO Thames" w:hAnsi="XO Thames"/>
      <w:b w:val="1"/>
      <w:caps w:val="1"/>
      <w:sz w:val="40"/>
    </w:rPr>
  </w:style>
  <w:style w:styleId="Style_21" w:type="paragraph">
    <w:name w:val="heading 4"/>
    <w:next w:val="Style_1"/>
    <w:link w:val="Style_21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1_ch" w:type="character">
    <w:name w:val="heading 4"/>
    <w:link w:val="Style_21"/>
    <w:rPr>
      <w:rFonts w:ascii="XO Thames" w:hAnsi="XO Thames"/>
      <w:b w:val="1"/>
      <w:sz w:val="24"/>
    </w:rPr>
  </w:style>
  <w:style w:styleId="Style_22" w:type="paragraph">
    <w:name w:val="Balloon Text"/>
    <w:basedOn w:val="Style_1"/>
    <w:link w:val="Style_22_ch"/>
    <w:pPr>
      <w:widowControl w:val="0"/>
      <w:spacing w:after="0" w:line="240" w:lineRule="auto"/>
      <w:ind/>
    </w:pPr>
    <w:rPr>
      <w:rFonts w:ascii="Segoe UI" w:hAnsi="Segoe UI"/>
      <w:sz w:val="18"/>
    </w:rPr>
  </w:style>
  <w:style w:styleId="Style_22_ch" w:type="character">
    <w:name w:val="Balloon Text"/>
    <w:basedOn w:val="Style_1_ch"/>
    <w:link w:val="Style_22"/>
    <w:rPr>
      <w:rFonts w:ascii="Segoe UI" w:hAnsi="Segoe UI"/>
      <w:sz w:val="18"/>
    </w:rPr>
  </w:style>
  <w:style w:styleId="Style_23" w:type="paragraph">
    <w:name w:val="heading 2"/>
    <w:next w:val="Style_1"/>
    <w:link w:val="Style_23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2025-10-27T03:24:52Z</dcterms:created>
  <dcterms:modified xsi:type="dcterms:W3CDTF">2026-06-02T13:49:32Z</dcterms:modified>
</cp:coreProperties>
</file>